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jc w:val="center"/>
        <w:outlineLvl w:val="1"/>
      </w:pPr>
      <w:r>
        <w:t xml:space="preserve">ПОЛИТИКА ОБРАБОТКИ ПЕРСОНАЛЬНЫХ ДАННЫХ ООО “РФЦ”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1. Область применения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Политика в 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отношении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обработки персональных данных Компании (далее — Политика) разработана в целях выполнения 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требований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законодательства Российской Федерации в области защиты персональных данных.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Политика обязательна для безусловного исполнения всеми работниками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ООО “РФЦ”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(далее — Компании), непосредственно осуществляющими обработку персональных данных, а также другими лицами, которым будет поручена обработка персональных данных от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лица Компании.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Нормативные ссылки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Настоящая Политика учитывает положения основных нормативных правовых актов в области защиты персональных данных, а именно:</w:t>
      </w:r>
      <w:r/>
    </w:p>
    <w:p>
      <w:pPr>
        <w:pStyle w:val="644"/>
        <w:numPr>
          <w:ilvl w:val="0"/>
          <w:numId w:val="1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Федерального закона от 27.07.2006 № 152-ФЗ «О персональных данных»;</w:t>
      </w:r>
      <w:r/>
    </w:p>
    <w:p>
      <w:pPr>
        <w:pStyle w:val="644"/>
        <w:numPr>
          <w:ilvl w:val="0"/>
          <w:numId w:val="1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Трудового кодекса Российской Федерации от 30.01.2001 №197-ФЗ;</w:t>
      </w:r>
      <w:r/>
    </w:p>
    <w:p>
      <w:pPr>
        <w:pStyle w:val="644"/>
        <w:numPr>
          <w:ilvl w:val="0"/>
          <w:numId w:val="1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Налогового кодекса Российской Федерации (часть первая) от 31.07.1998 №146-ФЗ;</w:t>
      </w:r>
      <w:r/>
    </w:p>
    <w:p>
      <w:pPr>
        <w:pStyle w:val="644"/>
        <w:numPr>
          <w:ilvl w:val="0"/>
          <w:numId w:val="1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Налогового кодекса Российской Федерации (часть вторая) от 05.08.2000 №117-ФЗ.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Определения</w:t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Персональные данные (ПДн) - любая информация, относящаяся к прямо или косвенно определенному или определяемому физическому лицу (субъекту персональных данных). Обработка персональных данных является неотъемлемой частью бизнеса Компании, в связи с чем, Рук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оводство Компании уделяет большое внимание обеспечению безопасности процессов, связанных с персональными данными.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Виды обработки ПДн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Компания осуществят обработку ПДн с использованием средств автоматизации и без использования таких средств, а именно совершает следующие действия с Персональными данными: сбор, запись, систематизацию, накопление,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хранение, уточнение (обновление, изменение), извлечение, использование, удаление.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Объем обрабатываемых персональных данных</w:t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Для каждой категории физических лиц, с которыми у Компании есть отношения (клиенты, работники, соискатели, аффилированные лица и т.д.), Компанией устанавливается полный список обрабатываемых персональных данных, а также определяются цели обработки.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соответствии с требованиями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Трудового кодекса РФ Копания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обрабатывает следующе персональные данные своих сотрудников: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фамилия 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имя,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отчество,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дата и место рождения,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адрес регистрации, паспортные данные (серия, номер, место и дата выдачи, код подразделения) и данне иных документов, удостоверяющих личность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семейного положения,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образование, опыт работы, сведения о ранее занимаемой должности и стаже,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номера ИНН и СНИЛС; контакты – телефон, электронная почта.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Для целей уведомления заказчиков о необходимости продлить полис, информационного сопровождения во время действия полиса и уведомления о новых услугах Компания может обрабатывать следующие ПДн: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фамилия, имя,отчество, адрес (адреса) электронной почты, номер (номера) телефона, места жительства, адреса регистрации, информация о используемых страховых продуктах.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 основании поручения страховых компаний для заключения договоров страхования Компания обрабатывает персональные данные клиентов. Перечень таких данных варьируется в зависимости от вида страхования и требований страхового законодательства и может включать: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фамилию, имя, отчество, место жительства, адреса регистрации, паспортные данные (серия, номер, место и дата выдачи, код подразделения) и данные иных документов, удостоверяющих личность, данные водительского удостоверения, сведения о состоянии здоровья, об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имуществе в собственности, адрес (адреса) электронной почты, номер (номера) телефона, фото-и видео-изображения, голос.</w:t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Полный список обрабатываемых данных, целей и сроков обработки устанавливается внутренними документами Компании и договорами со страховыми компаниями.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6. Обязательства Руководства Компании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Руководство Компании берет на себя следующие обязательства по реализации данной Политики:</w:t>
      </w:r>
      <w:r/>
    </w:p>
    <w:p>
      <w:pPr>
        <w:pStyle w:val="644"/>
        <w:numPr>
          <w:ilvl w:val="0"/>
          <w:numId w:val="3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назначить работника или подразделение, ответственного за организацию обработки персональных данных;</w:t>
      </w:r>
      <w:r/>
    </w:p>
    <w:p>
      <w:pPr>
        <w:pStyle w:val="644"/>
        <w:numPr>
          <w:ilvl w:val="0"/>
          <w:numId w:val="3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выделять соответствующие финансовые, технические, кадровые и иные ресурсы, необходимые и достаточные для обеспечения выполнения обязанностей, возложенных на Компанию в соответствии с действующим законодательством, обычаями делового оборота или договорами К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омпании;</w:t>
      </w:r>
      <w:r/>
    </w:p>
    <w:p>
      <w:pPr>
        <w:pStyle w:val="644"/>
        <w:numPr>
          <w:ilvl w:val="0"/>
          <w:numId w:val="3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контролировать выполнение настоящей Политики.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7. Доступ к персональным данным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Компания предоставляет доступ к персональным данным своим сотрудникам, ознакомленным с положениями законодательства Российской Федерации о персональных данных, настоящей Политикой, внутренними документами Компании по защите персональных данных.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Передача персональных данных третьим лицам осуществляется только при выполнении любого из следующих условий:</w:t>
      </w:r>
      <w:r/>
    </w:p>
    <w:p>
      <w:pPr>
        <w:pStyle w:val="644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Необходимость передачи определена федеральным законом;</w:t>
      </w:r>
      <w:r/>
    </w:p>
    <w:p>
      <w:pPr>
        <w:pStyle w:val="644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Присутствует согласие физического лица на передачу его персональных данных;</w:t>
      </w:r>
      <w:r/>
    </w:p>
    <w:p>
      <w:pPr>
        <w:pStyle w:val="644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Передача данных необходима в связи с выполнением договора, одной из сторон которого является физическое лицо – субъект персональных данных.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Обязательным условием предоставления доступа к персональным данным является подписание работниками Компании и третьими лицами обязательства о соблюдении режима конфиденциальности персональных данных, если иное не предусмотрено действующим законодательство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м.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8. Защита персональных данных в Компании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Защита персональных данных (как и любой ценной информации в Компании) осуществляется на основании следующих основных принципов:</w:t>
      </w:r>
      <w:r/>
    </w:p>
    <w:p>
      <w:pPr>
        <w:pStyle w:val="644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законность;</w:t>
      </w:r>
      <w:r/>
    </w:p>
    <w:p>
      <w:pPr>
        <w:pStyle w:val="644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комплексность;</w:t>
      </w:r>
      <w:r/>
    </w:p>
    <w:p>
      <w:pPr>
        <w:pStyle w:val="644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системность;</w:t>
      </w:r>
      <w:r/>
    </w:p>
    <w:p>
      <w:pPr>
        <w:pStyle w:val="644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соблюдение баланса интересов;</w:t>
      </w:r>
      <w:r/>
    </w:p>
    <w:p>
      <w:pPr>
        <w:pStyle w:val="644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персональная ответственность;</w:t>
      </w:r>
      <w:r/>
    </w:p>
    <w:p>
      <w:pPr>
        <w:pStyle w:val="644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обязательность контроля;</w:t>
      </w:r>
      <w:r/>
    </w:p>
    <w:p>
      <w:pPr>
        <w:pStyle w:val="644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адекватность защитных мер.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Данные принципы применяются ко всем видам обработки персональных данных – как к автоматизированной обработке, так и к обработке без использования средств автоматизации.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Компания предпринимает необходимые технические и организационные меры для защиты персональных данных от несанкционированного доступа, изменения, раскрытия или уничтожения, путем:</w:t>
      </w:r>
      <w:r/>
    </w:p>
    <w:p>
      <w:pPr>
        <w:pStyle w:val="644"/>
        <w:numPr>
          <w:ilvl w:val="0"/>
          <w:numId w:val="6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формирования требований по защите персональных данных;</w:t>
      </w:r>
      <w:r/>
    </w:p>
    <w:p>
      <w:pPr>
        <w:pStyle w:val="644"/>
        <w:numPr>
          <w:ilvl w:val="0"/>
          <w:numId w:val="6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проведения внутренних проверок выполнения требований;</w:t>
      </w:r>
      <w:r/>
    </w:p>
    <w:p>
      <w:pPr>
        <w:pStyle w:val="644"/>
        <w:numPr>
          <w:ilvl w:val="0"/>
          <w:numId w:val="6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осуществления мер по обеспечению физической безопасности данных для предотвращения несанкционированного доступа к системам, в которых обрабатываются персональные данные.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Непосредственные механизмы обеспечения безопасности персональных данных устанавливаются во внутренних документах Компании.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9. Актуализация Политики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Политика подлежит плановому пересмотру ответственным за организацию обработки персональных данных не реже одного раза в два года.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Внеплановый пересмотр Политики проводится в случае существенных изменений международного или российского законодательства в сфере защиты персональных данных.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10. Права физических лиц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Права физических лиц при обработке их персональных данных определены в законодательстве РФ. К основным правам относятся:</w:t>
      </w:r>
      <w:r/>
    </w:p>
    <w:p>
      <w:pPr>
        <w:pStyle w:val="644"/>
        <w:numPr>
          <w:ilvl w:val="0"/>
          <w:numId w:val="7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право на доступ к своим персональным данным;</w:t>
      </w:r>
      <w:r/>
    </w:p>
    <w:p>
      <w:pPr>
        <w:pStyle w:val="644"/>
        <w:numPr>
          <w:ilvl w:val="0"/>
          <w:numId w:val="7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право на уточнение (дополнение, исправление) своих персональных данных;</w:t>
      </w:r>
      <w:r/>
    </w:p>
    <w:p>
      <w:pPr>
        <w:pStyle w:val="644"/>
        <w:numPr>
          <w:ilvl w:val="0"/>
          <w:numId w:val="7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право на блокирование или уничтожение своих персональных данных.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Порядок реализации прав физических лиц определен в действующем законодательстве РФ. Субъект персональных данных может обратиться в Компанию лично или через представителя или направить в Компанию мотивированный запрос по указанному ниже адресу. Все запросы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и обращения будут рассмотрены в полном соответствии с требованиями действующего законодательства РФ.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Права могут быть ограничены в соответствии с действующим законодательством РФ.</w:t>
      </w:r>
      <w:r/>
    </w:p>
    <w:p>
      <w:pPr>
        <w:ind w:left="0" w:right="0" w:firstLine="0"/>
        <w:spacing w:after="281" w:before="281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11. Адрес для обращений физических лиц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ООО «РФЦ»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160034, г.Вологда, ул.Ленинградская, д.150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r/>
      <w:r/>
    </w:p>
    <w:sectPr>
      <w:footnotePr/>
      <w:endnotePr/>
      <w:type w:val="nextPage"/>
      <w:pgSz w:w="12240" w:h="15840" w:orient="portrait"/>
      <w:pgMar w:top="1440" w:right="1440" w:bottom="1440" w:left="1440" w:header="706" w:footer="706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5">
    <w:name w:val="Heading 1 Char"/>
    <w:link w:val="626"/>
    <w:uiPriority w:val="9"/>
    <w:rPr>
      <w:rFonts w:ascii="Arial" w:hAnsi="Arial" w:cs="Arial" w:eastAsia="Arial"/>
      <w:sz w:val="40"/>
      <w:szCs w:val="40"/>
    </w:rPr>
  </w:style>
  <w:style w:type="character" w:styleId="466">
    <w:name w:val="Heading 2 Char"/>
    <w:link w:val="627"/>
    <w:uiPriority w:val="9"/>
    <w:rPr>
      <w:rFonts w:ascii="Arial" w:hAnsi="Arial" w:cs="Arial" w:eastAsia="Arial"/>
      <w:sz w:val="34"/>
    </w:rPr>
  </w:style>
  <w:style w:type="character" w:styleId="467">
    <w:name w:val="Heading 3 Char"/>
    <w:link w:val="628"/>
    <w:uiPriority w:val="9"/>
    <w:rPr>
      <w:rFonts w:ascii="Arial" w:hAnsi="Arial" w:cs="Arial" w:eastAsia="Arial"/>
      <w:sz w:val="30"/>
      <w:szCs w:val="30"/>
    </w:rPr>
  </w:style>
  <w:style w:type="character" w:styleId="468">
    <w:name w:val="Heading 4 Char"/>
    <w:link w:val="629"/>
    <w:uiPriority w:val="9"/>
    <w:rPr>
      <w:rFonts w:ascii="Arial" w:hAnsi="Arial" w:cs="Arial" w:eastAsia="Arial"/>
      <w:b/>
      <w:bCs/>
      <w:sz w:val="26"/>
      <w:szCs w:val="26"/>
    </w:rPr>
  </w:style>
  <w:style w:type="character" w:styleId="469">
    <w:name w:val="Heading 5 Char"/>
    <w:link w:val="630"/>
    <w:uiPriority w:val="9"/>
    <w:rPr>
      <w:rFonts w:ascii="Arial" w:hAnsi="Arial" w:cs="Arial" w:eastAsia="Arial"/>
      <w:b/>
      <w:bCs/>
      <w:sz w:val="24"/>
      <w:szCs w:val="24"/>
    </w:rPr>
  </w:style>
  <w:style w:type="character" w:styleId="470">
    <w:name w:val="Heading 6 Char"/>
    <w:link w:val="631"/>
    <w:uiPriority w:val="9"/>
    <w:rPr>
      <w:rFonts w:ascii="Arial" w:hAnsi="Arial" w:cs="Arial" w:eastAsia="Arial"/>
      <w:b/>
      <w:bCs/>
      <w:sz w:val="22"/>
      <w:szCs w:val="22"/>
    </w:rPr>
  </w:style>
  <w:style w:type="character" w:styleId="471">
    <w:name w:val="Heading 7 Char"/>
    <w:link w:val="6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2">
    <w:name w:val="Heading 8 Char"/>
    <w:link w:val="633"/>
    <w:uiPriority w:val="9"/>
    <w:rPr>
      <w:rFonts w:ascii="Arial" w:hAnsi="Arial" w:cs="Arial" w:eastAsia="Arial"/>
      <w:i/>
      <w:iCs/>
      <w:sz w:val="22"/>
      <w:szCs w:val="22"/>
    </w:rPr>
  </w:style>
  <w:style w:type="character" w:styleId="473">
    <w:name w:val="Heading 9 Char"/>
    <w:link w:val="634"/>
    <w:uiPriority w:val="9"/>
    <w:rPr>
      <w:rFonts w:ascii="Arial" w:hAnsi="Arial" w:cs="Arial" w:eastAsia="Arial"/>
      <w:i/>
      <w:iCs/>
      <w:sz w:val="21"/>
      <w:szCs w:val="21"/>
    </w:rPr>
  </w:style>
  <w:style w:type="character" w:styleId="474">
    <w:name w:val="Title Char"/>
    <w:link w:val="643"/>
    <w:uiPriority w:val="10"/>
    <w:rPr>
      <w:sz w:val="48"/>
      <w:szCs w:val="48"/>
    </w:rPr>
  </w:style>
  <w:style w:type="character" w:styleId="475">
    <w:name w:val="Subtitle Char"/>
    <w:link w:val="641"/>
    <w:uiPriority w:val="11"/>
    <w:rPr>
      <w:sz w:val="24"/>
      <w:szCs w:val="24"/>
    </w:rPr>
  </w:style>
  <w:style w:type="character" w:styleId="476">
    <w:name w:val="Quote Char"/>
    <w:link w:val="640"/>
    <w:uiPriority w:val="29"/>
    <w:rPr>
      <w:i/>
    </w:rPr>
  </w:style>
  <w:style w:type="character" w:styleId="477">
    <w:name w:val="Intense Quote Char"/>
    <w:link w:val="642"/>
    <w:uiPriority w:val="30"/>
    <w:rPr>
      <w:i/>
    </w:rPr>
  </w:style>
  <w:style w:type="character" w:styleId="478">
    <w:name w:val="Header Char"/>
    <w:link w:val="638"/>
    <w:uiPriority w:val="99"/>
  </w:style>
  <w:style w:type="character" w:styleId="479">
    <w:name w:val="Footer Char"/>
    <w:link w:val="637"/>
    <w:uiPriority w:val="99"/>
  </w:style>
  <w:style w:type="paragraph" w:styleId="480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1">
    <w:name w:val="Caption Char"/>
    <w:basedOn w:val="480"/>
    <w:link w:val="637"/>
    <w:uiPriority w:val="99"/>
  </w:style>
  <w:style w:type="table" w:styleId="482">
    <w:name w:val="Table Grid"/>
    <w:basedOn w:val="6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Table Grid Light"/>
    <w:basedOn w:val="6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Plain Table 1"/>
    <w:basedOn w:val="6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2"/>
    <w:basedOn w:val="6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7">
    <w:name w:val="Plain Table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Plain Table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9">
    <w:name w:val="Grid Table 1 Light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4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1">
    <w:name w:val="Grid Table 4 - Accent 1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2">
    <w:name w:val="Grid Table 4 - Accent 2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Grid Table 4 - Accent 3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4">
    <w:name w:val="Grid Table 4 - Accent 4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Grid Table 4 - Accent 5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6">
    <w:name w:val="Grid Table 4 - Accent 6"/>
    <w:basedOn w:val="6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7">
    <w:name w:val="Grid Table 5 Dark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4">
    <w:name w:val="Grid Table 6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5">
    <w:name w:val="Grid Table 6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6">
    <w:name w:val="Grid Table 6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7">
    <w:name w:val="Grid Table 6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8">
    <w:name w:val="Grid Table 6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9">
    <w:name w:val="Grid Table 6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6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7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6">
    <w:name w:val="List Table 2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7">
    <w:name w:val="List Table 2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8">
    <w:name w:val="List Table 2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9">
    <w:name w:val="List Table 2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0">
    <w:name w:val="List Table 2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1">
    <w:name w:val="List Table 2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2">
    <w:name w:val="List Table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5 Dark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6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4">
    <w:name w:val="List Table 6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5">
    <w:name w:val="List Table 6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6">
    <w:name w:val="List Table 6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7">
    <w:name w:val="List Table 6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8">
    <w:name w:val="List Table 6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9">
    <w:name w:val="List Table 6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0">
    <w:name w:val="List Table 7 Colorful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1">
    <w:name w:val="List Table 7 Colorful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2">
    <w:name w:val="List Table 7 Colorful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3">
    <w:name w:val="List Table 7 Colorful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4">
    <w:name w:val="List Table 7 Colorful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5">
    <w:name w:val="List Table 7 Colorful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6">
    <w:name w:val="List Table 7 Colorful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7">
    <w:name w:val="Lined - Accent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8">
    <w:name w:val="Lined - Accent 1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9">
    <w:name w:val="Lined - Accent 2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0">
    <w:name w:val="Lined - Accent 3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1">
    <w:name w:val="Lined - Accent 4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2">
    <w:name w:val="Lined - Accent 5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3">
    <w:name w:val="Lined - Accent 6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4">
    <w:name w:val="Bordered &amp; Lined - Accent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5">
    <w:name w:val="Bordered &amp; Lined - Accent 1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6">
    <w:name w:val="Bordered &amp; Lined - Accent 2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7">
    <w:name w:val="Bordered &amp; Lined - Accent 3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8">
    <w:name w:val="Bordered &amp; Lined - Accent 4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9">
    <w:name w:val="Bordered &amp; Lined - Accent 5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0">
    <w:name w:val="Bordered &amp; Lined - Accent 6"/>
    <w:basedOn w:val="6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1">
    <w:name w:val="Bordered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2">
    <w:name w:val="Bordered - Accent 1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3">
    <w:name w:val="Bordered - Accent 2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4">
    <w:name w:val="Bordered - Accent 3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5">
    <w:name w:val="Bordered - Accent 4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6">
    <w:name w:val="Bordered - Accent 5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7">
    <w:name w:val="Bordered - Accent 6"/>
    <w:basedOn w:val="6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8">
    <w:name w:val="Hyperlink"/>
    <w:uiPriority w:val="99"/>
    <w:unhideWhenUsed/>
    <w:rPr>
      <w:color w:val="0000FF" w:themeColor="hyperlink"/>
      <w:u w:val="single"/>
    </w:rPr>
  </w:style>
  <w:style w:type="paragraph" w:styleId="609">
    <w:name w:val="footnote text"/>
    <w:basedOn w:val="625"/>
    <w:link w:val="610"/>
    <w:uiPriority w:val="99"/>
    <w:semiHidden/>
    <w:unhideWhenUsed/>
    <w:rPr>
      <w:sz w:val="18"/>
    </w:rPr>
    <w:pPr>
      <w:spacing w:lineRule="auto" w:line="240" w:after="40"/>
    </w:pPr>
  </w:style>
  <w:style w:type="character" w:styleId="610">
    <w:name w:val="Footnote Text Char"/>
    <w:link w:val="609"/>
    <w:uiPriority w:val="99"/>
    <w:rPr>
      <w:sz w:val="18"/>
    </w:rPr>
  </w:style>
  <w:style w:type="character" w:styleId="611">
    <w:name w:val="footnote reference"/>
    <w:uiPriority w:val="99"/>
    <w:unhideWhenUsed/>
    <w:rPr>
      <w:vertAlign w:val="superscript"/>
    </w:rPr>
  </w:style>
  <w:style w:type="paragraph" w:styleId="612">
    <w:name w:val="endnote text"/>
    <w:basedOn w:val="625"/>
    <w:link w:val="613"/>
    <w:uiPriority w:val="99"/>
    <w:semiHidden/>
    <w:unhideWhenUsed/>
    <w:rPr>
      <w:sz w:val="20"/>
    </w:rPr>
    <w:pPr>
      <w:spacing w:lineRule="auto" w:line="240" w:after="0"/>
    </w:pPr>
  </w:style>
  <w:style w:type="character" w:styleId="613">
    <w:name w:val="Endnote Text Char"/>
    <w:link w:val="612"/>
    <w:uiPriority w:val="99"/>
    <w:rPr>
      <w:sz w:val="20"/>
    </w:rPr>
  </w:style>
  <w:style w:type="character" w:styleId="614">
    <w:name w:val="endnote reference"/>
    <w:uiPriority w:val="99"/>
    <w:semiHidden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</w:style>
  <w:style w:type="paragraph" w:styleId="626">
    <w:name w:val="Heading 1"/>
    <w:basedOn w:val="625"/>
    <w:next w:val="625"/>
    <w:qFormat/>
    <w:uiPriority w:val="9"/>
    <w:rPr>
      <w:rFonts w:ascii="Times New Roman" w:hAnsi="Times New Roman" w:cs="Times New Roman" w:eastAsia="Times New Roman"/>
      <w:b/>
      <w:bCs/>
      <w:color w:val="000000"/>
      <w:sz w:val="36"/>
      <w:szCs w:val="48"/>
    </w:rPr>
    <w:pPr>
      <w:jc w:val="center"/>
      <w:keepLines/>
      <w:keepNext/>
      <w:spacing w:after="0" w:before="480"/>
      <w:outlineLvl w:val="1"/>
    </w:pPr>
  </w:style>
  <w:style w:type="paragraph" w:styleId="627">
    <w:name w:val="Heading 2"/>
    <w:basedOn w:val="625"/>
    <w:next w:val="625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28">
    <w:name w:val="Heading 3"/>
    <w:basedOn w:val="625"/>
    <w:next w:val="625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29">
    <w:name w:val="Heading 4"/>
    <w:basedOn w:val="625"/>
    <w:next w:val="625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30">
    <w:name w:val="Heading 5"/>
    <w:basedOn w:val="625"/>
    <w:next w:val="625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31">
    <w:name w:val="Heading 6"/>
    <w:basedOn w:val="625"/>
    <w:next w:val="625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32">
    <w:name w:val="Heading 7"/>
    <w:basedOn w:val="625"/>
    <w:next w:val="625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33">
    <w:name w:val="Heading 8"/>
    <w:basedOn w:val="625"/>
    <w:next w:val="625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34">
    <w:name w:val="Heading 9"/>
    <w:basedOn w:val="625"/>
    <w:next w:val="625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paragraph" w:styleId="637">
    <w:name w:val="Footer"/>
    <w:basedOn w:val="62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38">
    <w:name w:val="Header"/>
    <w:basedOn w:val="62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39">
    <w:name w:val="No Spacing"/>
    <w:qFormat/>
    <w:uiPriority w:val="1"/>
    <w:pPr>
      <w:spacing w:lineRule="auto" w:line="240" w:after="0"/>
    </w:pPr>
  </w:style>
  <w:style w:type="paragraph" w:styleId="640">
    <w:name w:val="Quote"/>
    <w:basedOn w:val="625"/>
    <w:next w:val="62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41">
    <w:name w:val="Subtitle"/>
    <w:basedOn w:val="625"/>
    <w:next w:val="625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42">
    <w:name w:val="Intense Quote"/>
    <w:basedOn w:val="625"/>
    <w:next w:val="625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43">
    <w:name w:val="Title"/>
    <w:basedOn w:val="625"/>
    <w:next w:val="625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44">
    <w:name w:val="List Paragraph"/>
    <w:basedOn w:val="625"/>
    <w:qFormat/>
    <w:uiPriority w:val="34"/>
    <w:pPr>
      <w:contextualSpacing w:val="true"/>
      <w:ind w:left="720"/>
    </w:pPr>
  </w:style>
  <w:style w:type="character" w:styleId="64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2021-01-21T19:04:40Z</dcterms:modified>
</cp:coreProperties>
</file>